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B0" w:rsidRPr="00C428B0" w:rsidRDefault="00C428B0" w:rsidP="00C428B0">
      <w:pPr>
        <w:wordWrap w:val="0"/>
        <w:spacing w:before="161" w:after="161" w:line="660" w:lineRule="atLeast"/>
        <w:jc w:val="center"/>
        <w:outlineLvl w:val="1"/>
        <w:rPr>
          <w:rFonts w:ascii="Arial" w:eastAsia="Times New Roman" w:hAnsi="Arial" w:cs="Arial"/>
          <w:b/>
          <w:bCs/>
          <w:color w:val="1A242E"/>
          <w:kern w:val="36"/>
          <w:sz w:val="36"/>
          <w:szCs w:val="36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kern w:val="36"/>
          <w:sz w:val="36"/>
          <w:szCs w:val="36"/>
        </w:rPr>
        <w:t>Adjectivul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Adjectivul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este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o parte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vorbire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flexibilă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cărei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caracteristică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este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indică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o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însușire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unui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.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</w:t>
      </w:r>
      <w:r>
        <w:rPr>
          <w:rFonts w:ascii="Arial" w:eastAsia="Times New Roman" w:hAnsi="Arial" w:cs="Arial"/>
          <w:color w:val="1A242E"/>
          <w:sz w:val="24"/>
          <w:szCs w:val="24"/>
        </w:rPr>
        <w:t>cesta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apare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însoțit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un</w:t>
      </w:r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substantiv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care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determină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care se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acordă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gen,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număr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caz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.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Când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se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află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lângă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substantivul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determinat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este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legat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acesta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articolul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demonstrativ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 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fata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frumoasă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).</w:t>
      </w:r>
    </w:p>
    <w:p w:rsidR="00C428B0" w:rsidRPr="00C428B0" w:rsidRDefault="00C428B0" w:rsidP="00C428B0">
      <w:pPr>
        <w:spacing w:before="100" w:beforeAutospacing="1" w:after="0" w:line="360" w:lineRule="atLeast"/>
        <w:outlineLvl w:val="1"/>
        <w:rPr>
          <w:rFonts w:ascii="Arial" w:eastAsia="Times New Roman" w:hAnsi="Arial" w:cs="Arial"/>
          <w:b/>
          <w:bCs/>
          <w:color w:val="1A242E"/>
          <w:sz w:val="36"/>
          <w:szCs w:val="36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Clasificare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 xml:space="preserve"> adjective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se pot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clasifica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numPr>
          <w:ilvl w:val="0"/>
          <w:numId w:val="2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După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declinare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Astfel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există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adjective:</w:t>
      </w:r>
    </w:p>
    <w:p w:rsidR="00C428B0" w:rsidRPr="00C428B0" w:rsidRDefault="00C428B0" w:rsidP="00C428B0">
      <w:pPr>
        <w:numPr>
          <w:ilvl w:val="0"/>
          <w:numId w:val="3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Variabile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schimbă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forma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funcție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gen,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număr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caz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 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puternic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puternică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puternici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puternice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alb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albă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albi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albe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variabil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2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terminații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4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forme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flexionare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verde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verde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verzi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verzi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variabil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o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terminație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două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forme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flexionare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mic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mică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mici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-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mici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variabil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două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terminații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trei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forme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flexionare</w:t>
      </w:r>
      <w:proofErr w:type="spellEnd"/>
    </w:p>
    <w:p w:rsidR="00C428B0" w:rsidRPr="00C428B0" w:rsidRDefault="00C428B0" w:rsidP="00C428B0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Variabile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cu o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terminație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: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când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la nr. </w:t>
      </w:r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singular</w:t>
      </w:r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au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aceeași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formă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pentru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genurile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masculin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feminin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  <w:r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verde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mare,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subțire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br/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câine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mare –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pisică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mare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br/>
        <w:t xml:space="preserve">material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subțire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–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bluză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subțire</w:t>
      </w:r>
      <w:proofErr w:type="spellEnd"/>
    </w:p>
    <w:p w:rsidR="00C428B0" w:rsidRPr="00C428B0" w:rsidRDefault="00C428B0" w:rsidP="00C428B0">
      <w:pPr>
        <w:numPr>
          <w:ilvl w:val="0"/>
          <w:numId w:val="9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Invariabile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rămân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la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aceeași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formă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indiferent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gen,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număr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caz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.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obicei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aceste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adjective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împrumutate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din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limbi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străine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gri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bordo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dulce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precoce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vivace</w:t>
      </w:r>
      <w:proofErr w:type="spellEnd"/>
    </w:p>
    <w:p w:rsidR="00C428B0" w:rsidRPr="00C428B0" w:rsidRDefault="00C428B0" w:rsidP="00C428B0">
      <w:pPr>
        <w:numPr>
          <w:ilvl w:val="0"/>
          <w:numId w:val="10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lastRenderedPageBreak/>
        <w:t>După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origine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adjectivele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se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împart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următoarele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categorii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numPr>
          <w:ilvl w:val="0"/>
          <w:numId w:val="11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Adjective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propriu-zise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br/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frumos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colorat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bun,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interesant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amar</w:t>
      </w:r>
      <w:proofErr w:type="spellEnd"/>
    </w:p>
    <w:p w:rsidR="00C428B0" w:rsidRPr="00C428B0" w:rsidRDefault="00C428B0" w:rsidP="00C428B0">
      <w:pPr>
        <w:numPr>
          <w:ilvl w:val="0"/>
          <w:numId w:val="11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Adjective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pronominale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provin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din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pronumele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care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determină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substantivul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se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împart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numPr>
          <w:ilvl w:val="0"/>
          <w:numId w:val="12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Adjective demonstrative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ind w:left="720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copilul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acesta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eleva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cealaltă</w:t>
      </w:r>
      <w:proofErr w:type="spellEnd"/>
    </w:p>
    <w:p w:rsidR="00C428B0" w:rsidRPr="00C428B0" w:rsidRDefault="00C428B0" w:rsidP="00C428B0">
      <w:pPr>
        <w:numPr>
          <w:ilvl w:val="0"/>
          <w:numId w:val="12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Adjective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nehotărâte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ind w:left="720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unele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fete,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fiecare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copil</w:t>
      </w:r>
      <w:proofErr w:type="spellEnd"/>
    </w:p>
    <w:p w:rsidR="00C428B0" w:rsidRPr="00C428B0" w:rsidRDefault="00C428B0" w:rsidP="00C428B0">
      <w:pPr>
        <w:numPr>
          <w:ilvl w:val="0"/>
          <w:numId w:val="12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Adjective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posesive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prietenul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meu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copiii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lor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vecinii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noștri</w:t>
      </w:r>
      <w:proofErr w:type="spellEnd"/>
    </w:p>
    <w:p w:rsidR="00C428B0" w:rsidRPr="00C428B0" w:rsidRDefault="00C428B0" w:rsidP="00C428B0">
      <w:pPr>
        <w:numPr>
          <w:ilvl w:val="0"/>
          <w:numId w:val="13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Adjective negative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ind w:left="720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niciun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om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nicio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lucrare</w:t>
      </w:r>
      <w:proofErr w:type="spellEnd"/>
    </w:p>
    <w:p w:rsidR="00C428B0" w:rsidRPr="00C428B0" w:rsidRDefault="00C428B0" w:rsidP="00C428B0">
      <w:pPr>
        <w:numPr>
          <w:ilvl w:val="0"/>
          <w:numId w:val="13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Adjective de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întărire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ind w:left="720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profesorul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însuși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eleva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însăși</w:t>
      </w:r>
      <w:proofErr w:type="spellEnd"/>
    </w:p>
    <w:p w:rsidR="00C428B0" w:rsidRPr="00C428B0" w:rsidRDefault="00C428B0" w:rsidP="00C428B0">
      <w:pPr>
        <w:numPr>
          <w:ilvl w:val="0"/>
          <w:numId w:val="13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Adjective relative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ind w:left="720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întreb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/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emisiune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interesează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numPr>
          <w:ilvl w:val="0"/>
          <w:numId w:val="13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Adjective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interogative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ind w:left="720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Care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țară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din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lume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nu are</w:t>
      </w:r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o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istorie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tumultuoasă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?</w:t>
      </w:r>
    </w:p>
    <w:p w:rsidR="00C428B0" w:rsidRPr="00C428B0" w:rsidRDefault="00C428B0" w:rsidP="00C428B0">
      <w:pPr>
        <w:numPr>
          <w:ilvl w:val="0"/>
          <w:numId w:val="14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După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structură</w:t>
      </w:r>
      <w:proofErr w:type="spellEnd"/>
    </w:p>
    <w:p w:rsidR="00C428B0" w:rsidRPr="00C428B0" w:rsidRDefault="00C428B0" w:rsidP="00C428B0">
      <w:pPr>
        <w:numPr>
          <w:ilvl w:val="0"/>
          <w:numId w:val="15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Adjective simple 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Aceste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adjective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formate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dintr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-un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singur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cuvânt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  <w:proofErr w:type="gram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lastRenderedPageBreak/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rău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sănătos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acru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fascinant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inteligent</w:t>
      </w:r>
      <w:proofErr w:type="spellEnd"/>
    </w:p>
    <w:p w:rsidR="00C428B0" w:rsidRPr="00C428B0" w:rsidRDefault="00C428B0" w:rsidP="00C428B0">
      <w:pPr>
        <w:numPr>
          <w:ilvl w:val="0"/>
          <w:numId w:val="16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Adjective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compuse</w:t>
      </w:r>
      <w:proofErr w:type="spellEnd"/>
    </w:p>
    <w:p w:rsidR="00C428B0" w:rsidRPr="00C428B0" w:rsidRDefault="00C428B0" w:rsidP="00C428B0">
      <w:pPr>
        <w:numPr>
          <w:ilvl w:val="0"/>
          <w:numId w:val="17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Adjective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compuse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scrise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cratimă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ind w:left="720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alb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-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negru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științifico-fantastic</w:t>
      </w:r>
      <w:r>
        <w:rPr>
          <w:rFonts w:ascii="Arial" w:eastAsia="Times New Roman" w:hAnsi="Arial" w:cs="Arial"/>
          <w:color w:val="1A242E"/>
          <w:sz w:val="24"/>
          <w:szCs w:val="24"/>
        </w:rPr>
        <w:t>,rău-platnic</w:t>
      </w:r>
      <w:proofErr w:type="spellEnd"/>
      <w:r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1A242E"/>
          <w:sz w:val="24"/>
          <w:szCs w:val="24"/>
        </w:rPr>
        <w:t>sus</w:t>
      </w:r>
      <w:proofErr w:type="spellEnd"/>
      <w:r>
        <w:rPr>
          <w:rFonts w:ascii="Arial" w:eastAsia="Times New Roman" w:hAnsi="Arial" w:cs="Arial"/>
          <w:color w:val="1A242E"/>
          <w:sz w:val="24"/>
          <w:szCs w:val="24"/>
        </w:rPr>
        <w:t>-pus</w:t>
      </w:r>
    </w:p>
    <w:p w:rsidR="00C428B0" w:rsidRPr="00C428B0" w:rsidRDefault="00C428B0" w:rsidP="00C428B0">
      <w:pPr>
        <w:numPr>
          <w:ilvl w:val="0"/>
          <w:numId w:val="17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Adjective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compuse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scrise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într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-un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singur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cuvânt</w:t>
      </w:r>
      <w:proofErr w:type="spellEnd"/>
    </w:p>
    <w:p w:rsidR="00C428B0" w:rsidRDefault="00C428B0" w:rsidP="00C428B0">
      <w:pPr>
        <w:spacing w:before="100" w:beforeAutospacing="1" w:after="100" w:afterAutospacing="1" w:line="343" w:lineRule="atLeast"/>
        <w:ind w:left="720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binemeritat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răufăcător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binevenit</w:t>
      </w:r>
      <w:proofErr w:type="spellEnd"/>
      <w:r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atotștiutor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atotfăcător</w:t>
      </w:r>
      <w:proofErr w:type="spellEnd"/>
    </w:p>
    <w:p w:rsidR="00C428B0" w:rsidRPr="00C428B0" w:rsidRDefault="00C428B0" w:rsidP="00C428B0">
      <w:pPr>
        <w:spacing w:before="100" w:beforeAutospacing="1" w:after="0" w:line="360" w:lineRule="atLeast"/>
        <w:outlineLvl w:val="1"/>
        <w:rPr>
          <w:rFonts w:ascii="Arial" w:eastAsia="Times New Roman" w:hAnsi="Arial" w:cs="Arial"/>
          <w:b/>
          <w:bCs/>
          <w:color w:val="1A242E"/>
          <w:sz w:val="36"/>
          <w:szCs w:val="36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Acordul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adjectivului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 xml:space="preserve"> cu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substantivul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se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va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acorda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mod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obligatoriu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gen,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număr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şi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caz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substantivul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pronumele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determinat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după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cum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urmează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om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furios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–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femeie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furioasă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–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oameni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furioși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Când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ne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confruntăm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o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situație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care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</w:t>
      </w:r>
      <w:r w:rsidR="00F15AC5">
        <w:rPr>
          <w:rFonts w:ascii="Arial" w:eastAsia="Times New Roman" w:hAnsi="Arial" w:cs="Arial"/>
          <w:color w:val="1A242E"/>
          <w:sz w:val="24"/>
          <w:szCs w:val="24"/>
        </w:rPr>
        <w:t>djectivul</w:t>
      </w:r>
      <w:proofErr w:type="spellEnd"/>
      <w:r w:rsidR="00F15AC5">
        <w:rPr>
          <w:rFonts w:ascii="Arial" w:eastAsia="Times New Roman" w:hAnsi="Arial" w:cs="Arial"/>
          <w:color w:val="1A242E"/>
          <w:sz w:val="24"/>
          <w:szCs w:val="24"/>
        </w:rPr>
        <w:t xml:space="preserve"> face </w:t>
      </w:r>
      <w:proofErr w:type="spellStart"/>
      <w:r w:rsidR="00F15AC5">
        <w:rPr>
          <w:rFonts w:ascii="Arial" w:eastAsia="Times New Roman" w:hAnsi="Arial" w:cs="Arial"/>
          <w:color w:val="1A242E"/>
          <w:sz w:val="24"/>
          <w:szCs w:val="24"/>
        </w:rPr>
        <w:t>referire</w:t>
      </w:r>
      <w:proofErr w:type="spellEnd"/>
      <w:r w:rsidR="00F15AC5">
        <w:rPr>
          <w:rFonts w:ascii="Arial" w:eastAsia="Times New Roman" w:hAnsi="Arial" w:cs="Arial"/>
          <w:color w:val="1A242E"/>
          <w:sz w:val="24"/>
          <w:szCs w:val="24"/>
        </w:rPr>
        <w:t xml:space="preserve"> la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substantive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nume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ființe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)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genuri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distincte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masculinul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are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prioritate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Băiatul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fata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vecinei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gălăgioși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spacing w:before="100" w:beforeAutospacing="1" w:after="0" w:line="360" w:lineRule="atLeast"/>
        <w:outlineLvl w:val="1"/>
        <w:rPr>
          <w:rFonts w:ascii="Arial" w:eastAsia="Times New Roman" w:hAnsi="Arial" w:cs="Arial"/>
          <w:b/>
          <w:bCs/>
          <w:color w:val="1A242E"/>
          <w:sz w:val="36"/>
          <w:szCs w:val="36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Gradele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 xml:space="preserve"> de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comparație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 xml:space="preserve"> ale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adjectivului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pot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avea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unul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din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trei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grade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funcție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nivelul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la care se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manifestă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însușirea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denumită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către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):</w:t>
      </w:r>
    </w:p>
    <w:p w:rsidR="00C428B0" w:rsidRPr="00C428B0" w:rsidRDefault="00C428B0" w:rsidP="00C428B0">
      <w:pPr>
        <w:numPr>
          <w:ilvl w:val="0"/>
          <w:numId w:val="18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Pozitiv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Acest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grad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arată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pur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simplu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însușirea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unui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fără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aceasta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să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fie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însușirea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altui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aceluiași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manifestată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într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-un context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diferit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).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înghețata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rece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luminos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drum 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lung</w:t>
      </w:r>
    </w:p>
    <w:p w:rsidR="00C428B0" w:rsidRPr="00C428B0" w:rsidRDefault="00C428B0" w:rsidP="00C428B0">
      <w:pPr>
        <w:numPr>
          <w:ilvl w:val="0"/>
          <w:numId w:val="19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Comparativ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lastRenderedPageBreak/>
        <w:t>Acest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grad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exprimă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intensitatea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însușirii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exprimate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aceeași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însușire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când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află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într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-o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situație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diferită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)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este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trei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feluri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numPr>
          <w:ilvl w:val="0"/>
          <w:numId w:val="20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superioritate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+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scurt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bogat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frumos</w:t>
      </w:r>
      <w:proofErr w:type="spellEnd"/>
    </w:p>
    <w:p w:rsidR="00C428B0" w:rsidRPr="00C428B0" w:rsidRDefault="00C428B0" w:rsidP="00C428B0">
      <w:pPr>
        <w:numPr>
          <w:ilvl w:val="0"/>
          <w:numId w:val="21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inferioritate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puțin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+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puțin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scurt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puțin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bogat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puțin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frumos</w:t>
      </w:r>
      <w:proofErr w:type="spellEnd"/>
    </w:p>
    <w:p w:rsidR="00C428B0" w:rsidRPr="00C428B0" w:rsidRDefault="00C428B0" w:rsidP="00C428B0">
      <w:pPr>
        <w:numPr>
          <w:ilvl w:val="0"/>
          <w:numId w:val="22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egalitate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la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fel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de, tot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așa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de, tot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atât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+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la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fel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scurt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tot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așa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bogat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tot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atât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frumos</w:t>
      </w:r>
      <w:proofErr w:type="spellEnd"/>
    </w:p>
    <w:p w:rsidR="00C428B0" w:rsidRPr="00C428B0" w:rsidRDefault="00C428B0" w:rsidP="00C428B0">
      <w:pPr>
        <w:numPr>
          <w:ilvl w:val="0"/>
          <w:numId w:val="23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Superlativ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Gradul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superlativ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indică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însușirea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denumită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aflată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la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nivelul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înalt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scăzut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posibil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fiind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două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feluri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numPr>
          <w:ilvl w:val="0"/>
          <w:numId w:val="24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Superlativ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relativ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înalt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grad al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trăsăturii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unui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când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este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aceeași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trăsătură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o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alta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cel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înalt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superlativ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relativ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superioritate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cel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puțin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simpatic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>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superlativ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relativ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inferioritate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</w:t>
      </w:r>
    </w:p>
    <w:p w:rsidR="00C428B0" w:rsidRPr="00C428B0" w:rsidRDefault="00C428B0" w:rsidP="00C428B0">
      <w:pPr>
        <w:numPr>
          <w:ilvl w:val="0"/>
          <w:numId w:val="25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Superlativ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absolut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Acest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grad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exprimă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trăsătura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denumită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manifestată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la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înalt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nivel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posibil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fără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trăsăturile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altui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cu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ale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aceluiași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obiect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manifestate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într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-un context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diferit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).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superlativ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absolut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exprimat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adverbe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locuțiuni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adverbiale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legate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prepoziția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de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extrem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loial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grozav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isteț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teribil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inteligent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groaznic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rece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),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expresii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conțin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un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substantiv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frumoasă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foc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român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sadea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),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repetarea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adjectivului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viteaz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viteaz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)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prin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lungirea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vocalelor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intră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compoziția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adjectivului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(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luuuuuuuung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)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Există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și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adjective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fără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grade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Acestea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numPr>
          <w:ilvl w:val="0"/>
          <w:numId w:val="26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lastRenderedPageBreak/>
        <w:t>Exprimă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caracteristici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care nu pot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întrucât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însele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sugerează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un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anume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grad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comparație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egal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întreg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perfect,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desăvârșit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secundar</w:t>
      </w:r>
      <w:proofErr w:type="spellEnd"/>
    </w:p>
    <w:p w:rsidR="00C428B0" w:rsidRPr="00C428B0" w:rsidRDefault="00C428B0" w:rsidP="00C428B0">
      <w:pPr>
        <w:numPr>
          <w:ilvl w:val="0"/>
          <w:numId w:val="26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Reprezentau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forme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ale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comparativului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sau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ale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superlativului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limba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latină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superior, inferior, major, maxim</w:t>
      </w:r>
    </w:p>
    <w:p w:rsidR="00C428B0" w:rsidRPr="00C428B0" w:rsidRDefault="00C428B0" w:rsidP="00C428B0">
      <w:pPr>
        <w:spacing w:before="100" w:beforeAutospacing="1" w:after="0" w:line="360" w:lineRule="atLeast"/>
        <w:outlineLvl w:val="1"/>
        <w:rPr>
          <w:rFonts w:ascii="Arial" w:eastAsia="Times New Roman" w:hAnsi="Arial" w:cs="Arial"/>
          <w:b/>
          <w:bCs/>
          <w:color w:val="1A242E"/>
          <w:sz w:val="36"/>
          <w:szCs w:val="36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Funcțiile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sintactice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 xml:space="preserve"> ale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36"/>
          <w:szCs w:val="36"/>
        </w:rPr>
        <w:t>adjectivului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poate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avea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următoarele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funcții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sintactice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numPr>
          <w:ilvl w:val="0"/>
          <w:numId w:val="27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Atribut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adjectival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Am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văzut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un</w:t>
      </w:r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copac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înalt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numPr>
          <w:ilvl w:val="0"/>
          <w:numId w:val="27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Nume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predicativ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Viața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este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grea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numPr>
          <w:ilvl w:val="0"/>
          <w:numId w:val="27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Complement indirect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Din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timidă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devenit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îndrăzneață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numPr>
          <w:ilvl w:val="0"/>
          <w:numId w:val="27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Complement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circumstanțial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timp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mic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era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inteligent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numPr>
          <w:ilvl w:val="0"/>
          <w:numId w:val="27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Complement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circumstanțial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de mod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: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Juriul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este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acord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băiatul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este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mai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mult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arătos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decât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talentat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numPr>
          <w:ilvl w:val="0"/>
          <w:numId w:val="27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Complement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circumstanțial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cauză</w:t>
      </w:r>
      <w:proofErr w:type="spellEnd"/>
      <w:r w:rsidRPr="00C428B0">
        <w:rPr>
          <w:rFonts w:ascii="Arial" w:eastAsia="Times New Roman" w:hAnsi="Arial" w:cs="Arial"/>
          <w:b/>
          <w:bCs/>
          <w:color w:val="1A242E"/>
          <w:sz w:val="24"/>
          <w:szCs w:val="24"/>
        </w:rPr>
        <w:t>: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Cântă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de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fericită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Când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se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află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înaintea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substantivului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determinat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,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adjectivul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preia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articolul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acestuia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.</w:t>
      </w:r>
      <w:proofErr w:type="gram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Exemple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>:</w:t>
      </w:r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spellStart"/>
      <w:proofErr w:type="gram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fat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a</w:t>
      </w:r>
      <w:proofErr w:type="spellEnd"/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deșteaptă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–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deșteapt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a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fată</w:t>
      </w:r>
      <w:proofErr w:type="spellEnd"/>
    </w:p>
    <w:p w:rsidR="00C428B0" w:rsidRPr="00C428B0" w:rsidRDefault="00C428B0" w:rsidP="00C428B0">
      <w:pPr>
        <w:spacing w:before="100" w:beforeAutospacing="1" w:after="100" w:afterAutospacing="1" w:line="343" w:lineRule="atLeast"/>
        <w:rPr>
          <w:rFonts w:ascii="Arial" w:eastAsia="Times New Roman" w:hAnsi="Arial" w:cs="Arial"/>
          <w:color w:val="1A242E"/>
          <w:sz w:val="24"/>
          <w:szCs w:val="24"/>
        </w:rPr>
      </w:pPr>
      <w:proofErr w:type="gram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un</w:t>
      </w:r>
      <w:proofErr w:type="gram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băiat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frumos</w:t>
      </w:r>
      <w:proofErr w:type="spellEnd"/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– </w:t>
      </w:r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un</w:t>
      </w:r>
      <w:r w:rsidRPr="00C428B0">
        <w:rPr>
          <w:rFonts w:ascii="Arial" w:eastAsia="Times New Roman" w:hAnsi="Arial" w:cs="Arial"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>frumos</w:t>
      </w:r>
      <w:proofErr w:type="spellEnd"/>
      <w:r w:rsidRPr="00C428B0">
        <w:rPr>
          <w:rFonts w:ascii="Arial" w:eastAsia="Times New Roman" w:hAnsi="Arial" w:cs="Arial"/>
          <w:i/>
          <w:iCs/>
          <w:color w:val="1A242E"/>
          <w:sz w:val="24"/>
          <w:szCs w:val="24"/>
        </w:rPr>
        <w:t xml:space="preserve"> </w:t>
      </w:r>
      <w:proofErr w:type="spellStart"/>
      <w:r w:rsidRPr="00C428B0">
        <w:rPr>
          <w:rFonts w:ascii="Arial" w:eastAsia="Times New Roman" w:hAnsi="Arial" w:cs="Arial"/>
          <w:color w:val="1A242E"/>
          <w:sz w:val="24"/>
          <w:szCs w:val="24"/>
        </w:rPr>
        <w:t>băiat</w:t>
      </w:r>
      <w:proofErr w:type="spellEnd"/>
    </w:p>
    <w:p w:rsidR="00DC4FDB" w:rsidRDefault="00DC4FDB"/>
    <w:sectPr w:rsidR="00DC4FDB" w:rsidSect="00DC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625"/>
    <w:multiLevelType w:val="multilevel"/>
    <w:tmpl w:val="DD4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E1FA4"/>
    <w:multiLevelType w:val="multilevel"/>
    <w:tmpl w:val="41B2DC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25363"/>
    <w:multiLevelType w:val="multilevel"/>
    <w:tmpl w:val="7D12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928FE"/>
    <w:multiLevelType w:val="multilevel"/>
    <w:tmpl w:val="C94A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42C65"/>
    <w:multiLevelType w:val="multilevel"/>
    <w:tmpl w:val="B9CE84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55E50"/>
    <w:multiLevelType w:val="multilevel"/>
    <w:tmpl w:val="EE502F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23603"/>
    <w:multiLevelType w:val="multilevel"/>
    <w:tmpl w:val="9E607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B1E42"/>
    <w:multiLevelType w:val="multilevel"/>
    <w:tmpl w:val="0EDC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C4434"/>
    <w:multiLevelType w:val="multilevel"/>
    <w:tmpl w:val="A30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87A8E"/>
    <w:multiLevelType w:val="multilevel"/>
    <w:tmpl w:val="D4A442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9C6788"/>
    <w:multiLevelType w:val="multilevel"/>
    <w:tmpl w:val="3948CF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0832B2"/>
    <w:multiLevelType w:val="multilevel"/>
    <w:tmpl w:val="3192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593E53"/>
    <w:multiLevelType w:val="multilevel"/>
    <w:tmpl w:val="58C0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4D5ABB"/>
    <w:multiLevelType w:val="multilevel"/>
    <w:tmpl w:val="F1806C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0314AB"/>
    <w:multiLevelType w:val="multilevel"/>
    <w:tmpl w:val="2A08CE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CB0D9E"/>
    <w:multiLevelType w:val="multilevel"/>
    <w:tmpl w:val="3F56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2D176D"/>
    <w:multiLevelType w:val="multilevel"/>
    <w:tmpl w:val="DCB6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632BD2"/>
    <w:multiLevelType w:val="multilevel"/>
    <w:tmpl w:val="C8C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627593"/>
    <w:multiLevelType w:val="multilevel"/>
    <w:tmpl w:val="CA0E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C5419D"/>
    <w:multiLevelType w:val="multilevel"/>
    <w:tmpl w:val="CF42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564A87"/>
    <w:multiLevelType w:val="multilevel"/>
    <w:tmpl w:val="DFBA6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EC78FB"/>
    <w:multiLevelType w:val="multilevel"/>
    <w:tmpl w:val="1CF0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C159CC"/>
    <w:multiLevelType w:val="multilevel"/>
    <w:tmpl w:val="63346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730FCE"/>
    <w:multiLevelType w:val="multilevel"/>
    <w:tmpl w:val="E97261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083FBC"/>
    <w:multiLevelType w:val="multilevel"/>
    <w:tmpl w:val="967E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B2889"/>
    <w:multiLevelType w:val="multilevel"/>
    <w:tmpl w:val="1A7A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9A6FF2"/>
    <w:multiLevelType w:val="multilevel"/>
    <w:tmpl w:val="C22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74C38"/>
    <w:multiLevelType w:val="multilevel"/>
    <w:tmpl w:val="93CED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6C663A"/>
    <w:multiLevelType w:val="multilevel"/>
    <w:tmpl w:val="2C1A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26"/>
  </w:num>
  <w:num w:numId="9">
    <w:abstractNumId w:val="20"/>
    <w:lvlOverride w:ilvl="0">
      <w:startOverride w:val="2"/>
    </w:lvlOverride>
  </w:num>
  <w:num w:numId="10">
    <w:abstractNumId w:val="24"/>
    <w:lvlOverride w:ilvl="0">
      <w:startOverride w:val="2"/>
    </w:lvlOverride>
  </w:num>
  <w:num w:numId="11">
    <w:abstractNumId w:val="23"/>
  </w:num>
  <w:num w:numId="12">
    <w:abstractNumId w:val="21"/>
  </w:num>
  <w:num w:numId="13">
    <w:abstractNumId w:val="17"/>
  </w:num>
  <w:num w:numId="14">
    <w:abstractNumId w:val="0"/>
    <w:lvlOverride w:ilvl="0">
      <w:startOverride w:val="3"/>
    </w:lvlOverride>
  </w:num>
  <w:num w:numId="15">
    <w:abstractNumId w:val="10"/>
  </w:num>
  <w:num w:numId="16">
    <w:abstractNumId w:val="1"/>
    <w:lvlOverride w:ilvl="0">
      <w:startOverride w:val="2"/>
    </w:lvlOverride>
  </w:num>
  <w:num w:numId="17">
    <w:abstractNumId w:val="2"/>
  </w:num>
  <w:num w:numId="18">
    <w:abstractNumId w:val="18"/>
  </w:num>
  <w:num w:numId="19">
    <w:abstractNumId w:val="16"/>
    <w:lvlOverride w:ilvl="0">
      <w:startOverride w:val="2"/>
    </w:lvlOverride>
  </w:num>
  <w:num w:numId="20">
    <w:abstractNumId w:val="14"/>
  </w:num>
  <w:num w:numId="21">
    <w:abstractNumId w:val="13"/>
    <w:lvlOverride w:ilvl="0">
      <w:startOverride w:val="2"/>
    </w:lvlOverride>
  </w:num>
  <w:num w:numId="22">
    <w:abstractNumId w:val="6"/>
    <w:lvlOverride w:ilvl="0">
      <w:startOverride w:val="3"/>
    </w:lvlOverride>
  </w:num>
  <w:num w:numId="23">
    <w:abstractNumId w:val="19"/>
    <w:lvlOverride w:ilvl="0">
      <w:startOverride w:val="3"/>
    </w:lvlOverride>
  </w:num>
  <w:num w:numId="24">
    <w:abstractNumId w:val="4"/>
  </w:num>
  <w:num w:numId="25">
    <w:abstractNumId w:val="9"/>
    <w:lvlOverride w:ilvl="0">
      <w:startOverride w:val="2"/>
    </w:lvlOverride>
  </w:num>
  <w:num w:numId="26">
    <w:abstractNumId w:val="15"/>
  </w:num>
  <w:num w:numId="27">
    <w:abstractNumId w:val="28"/>
  </w:num>
  <w:num w:numId="28">
    <w:abstractNumId w:val="5"/>
  </w:num>
  <w:num w:numId="29">
    <w:abstractNumId w:val="2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8B0"/>
    <w:rsid w:val="00C428B0"/>
    <w:rsid w:val="00DC4FDB"/>
    <w:rsid w:val="00F1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DB"/>
  </w:style>
  <w:style w:type="paragraph" w:styleId="Heading2">
    <w:name w:val="heading 2"/>
    <w:basedOn w:val="Normal"/>
    <w:link w:val="Heading2Char"/>
    <w:uiPriority w:val="9"/>
    <w:qFormat/>
    <w:rsid w:val="00C428B0"/>
    <w:pPr>
      <w:spacing w:before="100" w:beforeAutospacing="1" w:after="0" w:line="36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28B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428B0"/>
    <w:rPr>
      <w:strike w:val="0"/>
      <w:dstrike w:val="0"/>
      <w:color w:val="0075E3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428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pagetoc-header">
    <w:name w:val="onpagetoc-header"/>
    <w:basedOn w:val="DefaultParagraphFont"/>
    <w:rsid w:val="00C428B0"/>
  </w:style>
  <w:style w:type="character" w:styleId="Emphasis">
    <w:name w:val="Emphasis"/>
    <w:basedOn w:val="DefaultParagraphFont"/>
    <w:uiPriority w:val="20"/>
    <w:qFormat/>
    <w:rsid w:val="00C428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8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91822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139260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2538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439250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43739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405803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440688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037024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159723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75101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12175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876292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72233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319887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263088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727182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569029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081539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SabinaPC</dc:creator>
  <cp:lastModifiedBy>SabinaPC</cp:lastModifiedBy>
  <cp:revision>1</cp:revision>
  <dcterms:created xsi:type="dcterms:W3CDTF">2020-03-23T12:22:00Z</dcterms:created>
  <dcterms:modified xsi:type="dcterms:W3CDTF">2020-03-23T12:34:00Z</dcterms:modified>
</cp:coreProperties>
</file>